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60" w:lineRule="auto"/>
        <w:outlineLvl w:val="2"/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36195</wp:posOffset>
            </wp:positionV>
            <wp:extent cx="1090930" cy="1403350"/>
            <wp:effectExtent l="0" t="0" r="10160" b="0"/>
            <wp:wrapNone/>
            <wp:docPr id="1" name="图片 1" descr="d93fcffdd6e9c1cf5767512fd11f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93fcffdd6e9c1cf5767512fd11f9a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                  </w:t>
      </w:r>
    </w:p>
    <w:p>
      <w:pPr>
        <w:widowControl/>
        <w:numPr>
          <w:ilvl w:val="0"/>
          <w:numId w:val="0"/>
        </w:numPr>
        <w:spacing w:line="360" w:lineRule="auto"/>
        <w:outlineLvl w:val="2"/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outlineLvl w:val="2"/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outlineLvl w:val="2"/>
        <w:rPr>
          <w:rFonts w:hint="eastAsia" w:ascii="微软雅黑" w:hAnsi="微软雅黑" w:eastAsia="微软雅黑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 xml:space="preserve">孙亚南 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</w:p>
    <w:p>
      <w:pPr>
        <w:widowControl/>
        <w:numPr>
          <w:ilvl w:val="0"/>
          <w:numId w:val="0"/>
        </w:numPr>
        <w:spacing w:line="360" w:lineRule="auto"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副教授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男/江苏南通/管理学硕士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城市经济与创新管理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无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Do digital inclusive finance, innovation, and entrepreneurship activities stimulate vitality of the urban economy? Empirical evidence from the Yangtze River Delta, China. Technology in Society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 2023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,(72)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2.城市韧性的水平测度及其时空演化规律——以江苏省为例. 南京社会科学,2021,0(7)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3.Evaluation of wastewater pollution and treatment efficiencies in China during urbanization based on dynamic exogenous variable data envelopment analysis. Frontiers in Environmental Science,2021,0(9)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4.Associated effects and efficiency evaluation between wastewater pollution and water disease based on the dynamic two-stage DEA model. Healthcare,2020,0(8)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4"/>
          <w:szCs w:val="24"/>
        </w:rPr>
        <w:t>.长江经济带核心城市可持续发展能力评价.南京社会科学,2016,0(8)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6.高管激励、公司负债与代理成本——基于我国上市公司的实证研究.经济经纬,2015,32(05)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7.新常态下长三角一体化的机遇与挑战.当代经济管理,2015,37(10)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8.长三角城市群综合竞争力评价及发展定位研究.南京社会科学,2015(04)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微软雅黑" w:hAnsi="微软雅黑" w:eastAsia="微软雅黑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9.简单扎堆、技术嵌入到产业集群——江苏开发区转型升级路径研究[J].南京社会科学,2012(09)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1.江苏推进开发区创新提升对策研究（22SFG-04），市厅级。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江苏省城市韧性水平测度及综合承载力提升路径研究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（2020SJZDA055），市厅级。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RCEP背景下南通优势产业高质量发展路径研究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（2022BNT007），市厅级。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江苏省城市韧性水平测度与提升路径研究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（20EYD004），省部级。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长三角一体化中的江苏战略研究--兼论苏南、苏中及苏北的集聚、辐射与联动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（14ZHB001），省部级。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组织行为学、管理学、国际商务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现已招收应用经济学（学硕）与国际商务（专硕）专业的硕士研究生，拟招收公共管理（专硕）专业硕士研究生</w:t>
      </w:r>
    </w:p>
    <w:bookmarkEnd w:id="0"/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0E176D8C"/>
    <w:rsid w:val="0E2F00DF"/>
    <w:rsid w:val="5E443722"/>
    <w:rsid w:val="7CB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573</Words>
  <Characters>1117</Characters>
  <Lines>1</Lines>
  <Paragraphs>1</Paragraphs>
  <TotalTime>3</TotalTime>
  <ScaleCrop>false</ScaleCrop>
  <LinksUpToDate>false</LinksUpToDate>
  <CharactersWithSpaces>1206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2023-07-28T08:59:52Z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A66C8ABA6EF447C3B34D978E308680BC_13</vt:lpwstr>
  </property>
</Properties>
</file>