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color w:val="333333"/>
          <w:kern w:val="0"/>
          <w:sz w:val="28"/>
          <w:szCs w:val="28"/>
          <w:lang w:eastAsia="zh-CN"/>
        </w:rPr>
      </w:pPr>
      <w:r>
        <w:rPr>
          <w:rFonts w:hint="eastAsia" w:ascii="宋体" w:hAnsi="宋体" w:eastAsia="宋体" w:cs="宋体"/>
          <w:b/>
          <w:color w:val="333333"/>
          <w:kern w:val="0"/>
          <w:sz w:val="28"/>
          <w:szCs w:val="28"/>
          <w:lang w:eastAsia="zh-CN"/>
        </w:rPr>
        <w:drawing>
          <wp:inline distT="0" distB="0" distL="114300" distR="114300">
            <wp:extent cx="968375" cy="1409065"/>
            <wp:effectExtent l="0" t="0" r="3175" b="5080"/>
            <wp:docPr id="1" name="图片 1" descr="护照照片SM0233-140328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护照照片SM0233-1403280012"/>
                    <pic:cNvPicPr>
                      <a:picLocks noChangeAspect="1"/>
                    </pic:cNvPicPr>
                  </pic:nvPicPr>
                  <pic:blipFill>
                    <a:blip r:embed="rId4"/>
                    <a:stretch>
                      <a:fillRect/>
                    </a:stretch>
                  </pic:blipFill>
                  <pic:spPr>
                    <a:xfrm>
                      <a:off x="0" y="0"/>
                      <a:ext cx="968375" cy="1409065"/>
                    </a:xfrm>
                    <a:prstGeom prst="rect">
                      <a:avLst/>
                    </a:prstGeom>
                  </pic:spPr>
                </pic:pic>
              </a:graphicData>
            </a:graphic>
          </wp:inline>
        </w:drawing>
      </w:r>
    </w:p>
    <w:p>
      <w:pPr>
        <w:widowControl/>
        <w:jc w:val="left"/>
        <w:rPr>
          <w:rFonts w:hint="eastAsia" w:ascii="宋体" w:hAnsi="宋体" w:eastAsia="宋体" w:cs="宋体"/>
          <w:b/>
          <w:color w:val="333333"/>
          <w:kern w:val="0"/>
          <w:sz w:val="28"/>
          <w:szCs w:val="28"/>
          <w:lang w:eastAsia="zh-CN"/>
        </w:rPr>
      </w:pPr>
      <w:r>
        <w:rPr>
          <w:rFonts w:hint="eastAsia" w:ascii="宋体" w:hAnsi="宋体" w:eastAsia="宋体" w:cs="宋体"/>
          <w:b/>
          <w:color w:val="333333"/>
          <w:kern w:val="0"/>
          <w:sz w:val="28"/>
          <w:szCs w:val="28"/>
        </w:rPr>
        <w:t>姓名</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lang w:val="en-US" w:eastAsia="zh-CN"/>
        </w:rPr>
        <w:t>王国华</w:t>
      </w:r>
    </w:p>
    <w:p>
      <w:pPr>
        <w:widowControl/>
        <w:jc w:val="left"/>
        <w:rPr>
          <w:rFonts w:ascii="宋体" w:hAnsi="宋体" w:eastAsia="宋体" w:cs="宋体"/>
          <w:b/>
          <w:color w:val="333333"/>
          <w:kern w:val="0"/>
          <w:sz w:val="28"/>
          <w:szCs w:val="28"/>
        </w:rPr>
      </w:pPr>
      <w:r>
        <w:rPr>
          <w:rFonts w:hint="eastAsia" w:ascii="宋体" w:hAnsi="宋体" w:eastAsia="宋体" w:cs="宋体"/>
          <w:b/>
          <w:color w:val="333333"/>
          <w:kern w:val="0"/>
          <w:sz w:val="28"/>
          <w:szCs w:val="28"/>
        </w:rPr>
        <w:t>职称</w:t>
      </w:r>
      <w:r>
        <w:rPr>
          <w:rFonts w:hint="eastAsia" w:ascii="宋体" w:hAnsi="宋体" w:eastAsia="宋体" w:cs="宋体"/>
          <w:b/>
          <w:color w:val="333333"/>
          <w:kern w:val="0"/>
          <w:sz w:val="28"/>
          <w:szCs w:val="28"/>
          <w:lang w:eastAsia="zh-CN"/>
        </w:rPr>
        <w:t>：</w:t>
      </w:r>
      <w:r>
        <w:rPr>
          <w:rFonts w:hint="eastAsia" w:ascii="宋体" w:hAnsi="宋体" w:eastAsia="宋体" w:cs="宋体"/>
          <w:b/>
          <w:color w:val="333333"/>
          <w:kern w:val="0"/>
          <w:sz w:val="28"/>
          <w:szCs w:val="28"/>
          <w:lang w:val="en-US" w:eastAsia="zh-CN"/>
        </w:rPr>
        <w:t>教授</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个人简介</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王国华</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男，</w:t>
      </w:r>
      <w:r>
        <w:rPr>
          <w:rFonts w:hint="eastAsia" w:ascii="Times New Roman" w:hAnsi="Times New Roman" w:eastAsia="宋体" w:cs="Times New Roman"/>
          <w:color w:val="000000" w:themeColor="text1"/>
          <w:kern w:val="0"/>
          <w:sz w:val="24"/>
          <w:szCs w:val="24"/>
          <w14:textFill>
            <w14:solidFill>
              <w14:schemeClr w14:val="tx1"/>
            </w14:solidFill>
          </w14:textFill>
        </w:rPr>
        <w:t>博士、教授、研究生导师</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1998年毕业于中国科学技术大学信息管理（科技信息）专业，获理学学士学位</w:t>
      </w:r>
      <w:r>
        <w:rPr>
          <w:rFonts w:hint="eastAsia" w:ascii="Times New Roman" w:hAnsi="Times New Roman" w:eastAsia="宋体" w:cs="Times New Roman"/>
          <w:color w:val="000000" w:themeColor="text1"/>
          <w:kern w:val="0"/>
          <w:sz w:val="24"/>
          <w:szCs w:val="24"/>
          <w:lang w:eastAsia="zh-CN"/>
          <w14:textFill>
            <w14:solidFill>
              <w14:schemeClr w14:val="tx1"/>
            </w14:solidFill>
          </w14:textFill>
        </w:rPr>
        <w:t>；</w:t>
      </w:r>
      <w:r>
        <w:rPr>
          <w:rFonts w:hint="eastAsia" w:ascii="Times New Roman" w:hAnsi="Times New Roman" w:eastAsia="宋体" w:cs="Times New Roman"/>
          <w:color w:val="000000" w:themeColor="text1"/>
          <w:kern w:val="0"/>
          <w:sz w:val="24"/>
          <w:szCs w:val="24"/>
          <w14:textFill>
            <w14:solidFill>
              <w14:schemeClr w14:val="tx1"/>
            </w14:solidFill>
          </w14:textFill>
        </w:rPr>
        <w:t>2003年毕业于中国科学技术大学管理科学与工程专业，获管理学博士学位；2003年7月始在中国科学技术大学管理学院任教，期间曾担任管理科学系副主任助理、学院物流与供应链管理教研室主任。先后主持和主要参与国家自然科学基金、国家社科基金项目以及教育部人文社会科学规划基金项目等省部级课题多项，完成众多企事业单位委托横向课题。</w:t>
      </w:r>
    </w:p>
    <w:p>
      <w:pPr>
        <w:widowControl/>
        <w:outlineLvl w:val="2"/>
        <w:rPr>
          <w:rFonts w:ascii="微软雅黑" w:hAnsi="微软雅黑" w:eastAsia="微软雅黑" w:cs="宋体"/>
          <w:color w:val="666666"/>
          <w:kern w:val="0"/>
          <w:sz w:val="18"/>
          <w:szCs w:val="18"/>
        </w:rPr>
      </w:pPr>
      <w:r>
        <w:rPr>
          <w:rFonts w:ascii="微软雅黑" w:hAnsi="微软雅黑" w:eastAsia="微软雅黑" w:cs="宋体"/>
          <w:b/>
          <w:bCs/>
          <w:color w:val="333333"/>
          <w:kern w:val="0"/>
          <w:sz w:val="27"/>
          <w:szCs w:val="27"/>
        </w:rPr>
        <w:t>专业研究领域</w:t>
      </w:r>
      <w:r>
        <w:rPr>
          <w:rFonts w:hint="eastAsia" w:ascii="宋体" w:hAnsi="宋体" w:eastAsia="宋体" w:cs="宋体"/>
          <w:b/>
          <w:color w:val="333333"/>
          <w:kern w:val="0"/>
          <w:sz w:val="28"/>
          <w:szCs w:val="28"/>
        </w:rPr>
        <w:t>（必填*）</w:t>
      </w:r>
    </w:p>
    <w:p>
      <w:pPr>
        <w:widowControl/>
        <w:spacing w:after="45" w:line="360" w:lineRule="auto"/>
        <w:rPr>
          <w:rFonts w:hint="eastAsia" w:ascii="Times New Roman" w:hAnsi="Times New Roman" w:eastAsia="宋体" w:cs="Times New Roman"/>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决策分析、系统工程、物流与供应链管理</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专著与论集（必填*）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无</w:t>
      </w:r>
    </w:p>
    <w:p>
      <w:pPr>
        <w:widowControl/>
        <w:outlineLvl w:val="2"/>
        <w:rPr>
          <w:rFonts w:ascii="微软雅黑" w:hAnsi="微软雅黑" w:eastAsia="微软雅黑" w:cs="宋体"/>
          <w:b/>
          <w:bCs/>
          <w:color w:val="333333"/>
          <w:kern w:val="0"/>
          <w:sz w:val="27"/>
          <w:szCs w:val="27"/>
        </w:rPr>
      </w:pPr>
      <w:r>
        <w:rPr>
          <w:rFonts w:hint="eastAsia" w:ascii="微软雅黑" w:hAnsi="微软雅黑" w:eastAsia="微软雅黑" w:cs="宋体"/>
          <w:b/>
          <w:bCs/>
          <w:color w:val="333333"/>
          <w:kern w:val="0"/>
          <w:sz w:val="27"/>
          <w:szCs w:val="27"/>
        </w:rPr>
        <w:t>学术论文（选填）</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1. Studies of numerical scale pedigree in correspondence with verbal scale, Foundations of Intelligent Systems，Advances in Intelligent Systems and Computing 277, 2014, 719-729.</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bookmarkStart w:id="0" w:name="_GoBack"/>
      <w:bookmarkEnd w:id="0"/>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 xml:space="preserve">2. An interactive method to solve the priorities of attributes while the preferences of evaluated units are under considering, Communications in Computer and Information Science, Springer-Verlag，Part I, 97 CCIS, 2010, 132-143. </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3. 决策理论与方法. 合肥: 中国科学技术大学出版社, 2014.</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4. 一种考虑先验偏好的协商均衡评估模型, 系统工程2012.9: 101-105.</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5. 多专家判断的模糊偏好信息集结规划方法. 中国管理科学, 2005, 13(4): 74-77.</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6. AHP中专家判断信息的提取及一致性调整的方法. 运筹与管理, 2004, 13(6): 41-44.</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7. 判断距阵迁移信息提取与预测. 管理科学学报, 2002, 2(5): 91-94.</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8. 一种多专家判断信息二次合成方法. 系统工程与电子技术, 2002, 24(9): 38-41.</w:t>
      </w:r>
    </w:p>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9. 多层次交互式确定权重的方法. 系统工程学报, 2002, 17(4): 358-363.</w:t>
      </w:r>
    </w:p>
    <w:p>
      <w:pPr>
        <w:widowControl/>
        <w:outlineLvl w:val="2"/>
        <w:rPr>
          <w:rFonts w:ascii="微软雅黑" w:hAnsi="微软雅黑" w:eastAsia="微软雅黑" w:cs="宋体"/>
          <w:color w:val="666666"/>
          <w:kern w:val="0"/>
          <w:sz w:val="18"/>
          <w:szCs w:val="18"/>
        </w:rPr>
      </w:pPr>
      <w:r>
        <w:rPr>
          <w:rFonts w:hint="eastAsia" w:ascii="微软雅黑" w:hAnsi="微软雅黑" w:eastAsia="微软雅黑" w:cs="宋体"/>
          <w:b/>
          <w:bCs/>
          <w:color w:val="333333"/>
          <w:kern w:val="0"/>
          <w:sz w:val="27"/>
          <w:szCs w:val="27"/>
        </w:rPr>
        <w:t>主要科研项目</w:t>
      </w:r>
      <w:r>
        <w:rPr>
          <w:rFonts w:ascii="微软雅黑" w:hAnsi="微软雅黑" w:eastAsia="微软雅黑" w:cs="宋体"/>
          <w:color w:val="666666"/>
          <w:kern w:val="0"/>
          <w:sz w:val="18"/>
          <w:szCs w:val="18"/>
        </w:rPr>
        <w:t> </w:t>
      </w:r>
      <w:r>
        <w:rPr>
          <w:rFonts w:hint="eastAsia" w:ascii="微软雅黑" w:hAnsi="微软雅黑" w:eastAsia="微软雅黑" w:cs="宋体"/>
          <w:b/>
          <w:bCs/>
          <w:color w:val="333333"/>
          <w:kern w:val="0"/>
          <w:sz w:val="27"/>
          <w:szCs w:val="27"/>
        </w:rPr>
        <w:t>（选填）</w:t>
      </w:r>
    </w:p>
    <w:tbl>
      <w:tblPr>
        <w:tblStyle w:val="7"/>
        <w:tblpPr w:leftFromText="180" w:rightFromText="180" w:vertAnchor="text" w:horzAnchor="margin" w:tblpXSpec="right" w:tblpY="2"/>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28"/>
        <w:gridCol w:w="4840"/>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right"/>
        </w:trPr>
        <w:tc>
          <w:tcPr>
            <w:tcW w:w="1366"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国家自然科学基金</w:t>
            </w:r>
          </w:p>
        </w:tc>
        <w:tc>
          <w:tcPr>
            <w:tcW w:w="2840"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基于博弈的相关性评估方法及其应用研究（71101076）</w:t>
            </w:r>
          </w:p>
        </w:tc>
        <w:tc>
          <w:tcPr>
            <w:tcW w:w="793"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2012-2014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right"/>
        </w:trPr>
        <w:tc>
          <w:tcPr>
            <w:tcW w:w="1366"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教育部人文社科基金</w:t>
            </w:r>
          </w:p>
        </w:tc>
        <w:tc>
          <w:tcPr>
            <w:tcW w:w="2840"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交互式相关性评估模型及应用研究（10YJA630147）</w:t>
            </w:r>
          </w:p>
        </w:tc>
        <w:tc>
          <w:tcPr>
            <w:tcW w:w="793"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2011-2013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right"/>
        </w:trPr>
        <w:tc>
          <w:tcPr>
            <w:tcW w:w="1366"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国家社会科学基金</w:t>
            </w:r>
          </w:p>
        </w:tc>
        <w:tc>
          <w:tcPr>
            <w:tcW w:w="2840"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供应链应对突变风险管理的协调机制及计量模型研究(10CGL025)</w:t>
            </w:r>
          </w:p>
        </w:tc>
        <w:tc>
          <w:tcPr>
            <w:tcW w:w="793"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2011-2013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right"/>
        </w:trPr>
        <w:tc>
          <w:tcPr>
            <w:tcW w:w="1366"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国家自然科学基金</w:t>
            </w:r>
          </w:p>
        </w:tc>
        <w:tc>
          <w:tcPr>
            <w:tcW w:w="2840"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资源保护型旅游供应链协调机制研究（70761001）</w:t>
            </w:r>
          </w:p>
        </w:tc>
        <w:tc>
          <w:tcPr>
            <w:tcW w:w="793" w:type="pct"/>
            <w:tcBorders>
              <w:tl2br w:val="nil"/>
              <w:tr2bl w:val="nil"/>
            </w:tcBorders>
            <w:noWrap w:val="0"/>
            <w:vAlign w:val="center"/>
          </w:tcPr>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t>2008-2010</w:t>
            </w:r>
          </w:p>
        </w:tc>
      </w:tr>
    </w:tbl>
    <w:p>
      <w:pPr>
        <w:widowControl/>
        <w:spacing w:after="45" w:line="360" w:lineRule="auto"/>
        <w:rPr>
          <w:rFonts w:hint="eastAsia" w:ascii="Times New Roman" w:hAnsi="Times New Roman" w:eastAsia="宋体" w:cs="Times New Roman"/>
          <w:color w:val="000000" w:themeColor="text1"/>
          <w:kern w:val="0"/>
          <w:sz w:val="24"/>
          <w:szCs w:val="24"/>
          <w:lang w:val="en-US" w:eastAsia="zh-CN"/>
          <w14:textFill>
            <w14:solidFill>
              <w14:schemeClr w14:val="tx1"/>
            </w14:solidFill>
          </w14:textFill>
        </w:rPr>
      </w:pPr>
    </w:p>
    <w:p>
      <w:pPr>
        <w:widowControl/>
        <w:outlineLvl w:val="2"/>
        <w:rPr>
          <w:rFonts w:ascii="微软雅黑" w:hAnsi="微软雅黑" w:eastAsia="微软雅黑" w:cs="宋体"/>
          <w:b/>
          <w:bCs/>
          <w:color w:val="333333"/>
          <w:kern w:val="0"/>
          <w:sz w:val="27"/>
          <w:szCs w:val="27"/>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wOTkzNGM0ZTFlOTI3ZjEwYjc1OTA1Y2UxNWU1NmYifQ=="/>
  </w:docVars>
  <w:rsids>
    <w:rsidRoot w:val="006869F2"/>
    <w:rsid w:val="000D54A3"/>
    <w:rsid w:val="00147487"/>
    <w:rsid w:val="00176ED7"/>
    <w:rsid w:val="00234337"/>
    <w:rsid w:val="003C06DF"/>
    <w:rsid w:val="00526887"/>
    <w:rsid w:val="006869F2"/>
    <w:rsid w:val="00691AAB"/>
    <w:rsid w:val="00735F4B"/>
    <w:rsid w:val="007739F1"/>
    <w:rsid w:val="007B2E36"/>
    <w:rsid w:val="00827B66"/>
    <w:rsid w:val="00887A86"/>
    <w:rsid w:val="00AB4AA4"/>
    <w:rsid w:val="00B051AA"/>
    <w:rsid w:val="00B866F7"/>
    <w:rsid w:val="00BB79DC"/>
    <w:rsid w:val="00C47A58"/>
    <w:rsid w:val="00C73D8E"/>
    <w:rsid w:val="00CE55CB"/>
    <w:rsid w:val="00F00116"/>
    <w:rsid w:val="37265173"/>
    <w:rsid w:val="3AA42D54"/>
    <w:rsid w:val="46FC7311"/>
    <w:rsid w:val="71256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uiPriority w:val="99"/>
    <w:rPr>
      <w:sz w:val="18"/>
      <w:szCs w:val="18"/>
    </w:rPr>
  </w:style>
  <w:style w:type="character" w:customStyle="1" w:styleId="11">
    <w:name w:val="标题 3 字符"/>
    <w:basedOn w:val="8"/>
    <w:link w:val="2"/>
    <w:uiPriority w:val="9"/>
    <w:rPr>
      <w:rFonts w:ascii="宋体" w:hAnsi="宋体" w:eastAsia="宋体" w:cs="宋体"/>
      <w:b/>
      <w:bCs/>
      <w:kern w:val="0"/>
      <w:sz w:val="27"/>
      <w:szCs w:val="27"/>
    </w:rPr>
  </w:style>
  <w:style w:type="character" w:customStyle="1" w:styleId="12">
    <w:name w:val="listtext"/>
    <w:basedOn w:val="8"/>
    <w:uiPriority w:val="0"/>
  </w:style>
  <w:style w:type="character" w:customStyle="1" w:styleId="13">
    <w:name w:val="name"/>
    <w:basedOn w:val="8"/>
    <w:qFormat/>
    <w:uiPriority w:val="0"/>
  </w:style>
  <w:style w:type="character" w:customStyle="1" w:styleId="14">
    <w:name w:val="position"/>
    <w:basedOn w:val="8"/>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649</Words>
  <Characters>1112</Characters>
  <Lines>5</Lines>
  <Paragraphs>1</Paragraphs>
  <TotalTime>1</TotalTime>
  <ScaleCrop>false</ScaleCrop>
  <LinksUpToDate>false</LinksUpToDate>
  <CharactersWithSpaces>1205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2023-07-07T02:24:00Z</dcterms:created>
  <dc:creator>admin</dc:creator>
  <cp:lastModifiedBy>Amanda</cp:lastModifiedBy>
  <dcterms:modified xsi:type="dcterms:W3CDTF">2023-07-28T08:13:32Z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E207F2EC7C4F4580AF83350404F24E91_13</vt:lpwstr>
  </property>
</Properties>
</file>